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2E3F82" w:rsidRPr="00D60904" w14:paraId="026F6940" w14:textId="77777777" w:rsidTr="009F2398">
        <w:trPr>
          <w:trHeight w:val="214"/>
        </w:trPr>
        <w:tc>
          <w:tcPr>
            <w:tcW w:w="3970" w:type="dxa"/>
            <w:shd w:val="clear" w:color="auto" w:fill="BFBFBF" w:themeFill="background1" w:themeFillShade="BF"/>
          </w:tcPr>
          <w:p w14:paraId="4EE6CC4D" w14:textId="77777777" w:rsidR="002E3F82" w:rsidRPr="00D60904" w:rsidRDefault="002E3F82" w:rsidP="009F2398">
            <w:pPr>
              <w:spacing w:before="20" w:after="20"/>
              <w:rPr>
                <w:rFonts w:cs="Arial"/>
                <w:b/>
                <w:bCs/>
                <w:sz w:val="20"/>
                <w:szCs w:val="20"/>
                <w:lang w:eastAsia="en-AU"/>
              </w:rPr>
            </w:pPr>
            <w:r w:rsidRPr="00D60904">
              <w:rPr>
                <w:rFonts w:cs="Arial"/>
                <w:b/>
                <w:bCs/>
                <w:sz w:val="20"/>
                <w:szCs w:val="20"/>
                <w:lang w:eastAsia="en-AU"/>
              </w:rPr>
              <w:t>Clause</w:t>
            </w:r>
          </w:p>
        </w:tc>
        <w:tc>
          <w:tcPr>
            <w:tcW w:w="3969" w:type="dxa"/>
            <w:shd w:val="clear" w:color="auto" w:fill="BFBFBF" w:themeFill="background1" w:themeFillShade="BF"/>
          </w:tcPr>
          <w:p w14:paraId="073878EC" w14:textId="77777777" w:rsidR="002E3F82" w:rsidRPr="00D60904" w:rsidRDefault="002E3F82" w:rsidP="009F2398">
            <w:pPr>
              <w:spacing w:before="20" w:after="20"/>
              <w:rPr>
                <w:rFonts w:cs="Arial"/>
                <w:b/>
                <w:bCs/>
                <w:sz w:val="20"/>
                <w:szCs w:val="20"/>
                <w:lang w:eastAsia="en-AU"/>
              </w:rPr>
            </w:pPr>
            <w:r>
              <w:rPr>
                <w:rFonts w:cs="Arial"/>
                <w:b/>
                <w:bCs/>
                <w:sz w:val="20"/>
                <w:szCs w:val="20"/>
                <w:lang w:eastAsia="en-AU"/>
              </w:rPr>
              <w:t>Assessment</w:t>
            </w:r>
          </w:p>
        </w:tc>
        <w:tc>
          <w:tcPr>
            <w:tcW w:w="1843" w:type="dxa"/>
            <w:shd w:val="clear" w:color="auto" w:fill="BFBFBF" w:themeFill="background1" w:themeFillShade="BF"/>
          </w:tcPr>
          <w:p w14:paraId="1C83AC23" w14:textId="77777777" w:rsidR="002E3F82" w:rsidRPr="00D60904" w:rsidRDefault="002E3F82" w:rsidP="009F2398">
            <w:pPr>
              <w:tabs>
                <w:tab w:val="left" w:pos="7263"/>
              </w:tabs>
              <w:spacing w:before="20" w:after="20"/>
              <w:ind w:right="-108"/>
              <w:rPr>
                <w:rFonts w:cs="Arial"/>
                <w:b/>
                <w:bCs/>
                <w:sz w:val="20"/>
                <w:szCs w:val="20"/>
                <w:lang w:eastAsia="en-AU"/>
              </w:rPr>
            </w:pPr>
            <w:r w:rsidRPr="00D60904">
              <w:rPr>
                <w:rFonts w:cs="Arial"/>
                <w:b/>
                <w:bCs/>
                <w:sz w:val="20"/>
                <w:szCs w:val="20"/>
                <w:lang w:eastAsia="en-AU"/>
              </w:rPr>
              <w:t>Compliance</w:t>
            </w:r>
            <w:r>
              <w:rPr>
                <w:rFonts w:cs="Arial"/>
                <w:b/>
                <w:bCs/>
                <w:sz w:val="20"/>
                <w:szCs w:val="20"/>
                <w:lang w:eastAsia="en-AU"/>
              </w:rPr>
              <w:t>?</w:t>
            </w:r>
          </w:p>
        </w:tc>
      </w:tr>
      <w:tr w:rsidR="002E3F82" w:rsidRPr="00D60904" w14:paraId="7311D501" w14:textId="77777777" w:rsidTr="009F2398">
        <w:trPr>
          <w:trHeight w:val="214"/>
        </w:trPr>
        <w:tc>
          <w:tcPr>
            <w:tcW w:w="3970" w:type="dxa"/>
            <w:shd w:val="clear" w:color="auto" w:fill="auto"/>
          </w:tcPr>
          <w:p w14:paraId="07256803" w14:textId="77777777" w:rsidR="002E3F82" w:rsidRPr="00D60904" w:rsidRDefault="002E3F82" w:rsidP="009F2398">
            <w:pPr>
              <w:spacing w:before="20" w:after="20"/>
              <w:rPr>
                <w:rFonts w:cs="Arial"/>
                <w:b/>
                <w:sz w:val="20"/>
                <w:szCs w:val="20"/>
                <w:lang w:eastAsia="en-AU"/>
              </w:rPr>
            </w:pPr>
            <w:r w:rsidRPr="00D60904">
              <w:rPr>
                <w:rFonts w:cs="Arial"/>
                <w:b/>
                <w:sz w:val="20"/>
                <w:szCs w:val="20"/>
                <w:lang w:eastAsia="en-AU"/>
              </w:rPr>
              <w:t>2.3 Zone objectives and land use table</w:t>
            </w:r>
          </w:p>
          <w:p w14:paraId="4113F191" w14:textId="77777777" w:rsidR="002E3F82" w:rsidRPr="00D60904" w:rsidRDefault="002E3F82" w:rsidP="009F2398">
            <w:pPr>
              <w:spacing w:before="20" w:after="20"/>
              <w:rPr>
                <w:rFonts w:cs="Arial"/>
                <w:sz w:val="20"/>
                <w:szCs w:val="20"/>
                <w:lang w:eastAsia="en-AU"/>
              </w:rPr>
            </w:pPr>
          </w:p>
          <w:p w14:paraId="3527142B" w14:textId="77777777" w:rsidR="002E3F82" w:rsidRPr="00D60904" w:rsidRDefault="002E3F82" w:rsidP="008870FD">
            <w:pPr>
              <w:spacing w:before="20" w:after="20"/>
              <w:jc w:val="both"/>
              <w:rPr>
                <w:rFonts w:cs="Arial"/>
                <w:sz w:val="20"/>
                <w:szCs w:val="20"/>
                <w:lang w:eastAsia="en-AU"/>
              </w:rPr>
            </w:pPr>
            <w:r w:rsidRPr="00D60904">
              <w:rPr>
                <w:rFonts w:cs="Arial"/>
                <w:sz w:val="20"/>
                <w:szCs w:val="20"/>
                <w:lang w:eastAsia="en-AU"/>
              </w:rPr>
              <w:t>The land use table for each zone sets out what development is permitted without consent, permitted with consent and prohibited.</w:t>
            </w:r>
          </w:p>
          <w:p w14:paraId="373D91A2" w14:textId="77777777" w:rsidR="002E3F82" w:rsidRPr="00D60904" w:rsidRDefault="002E3F82" w:rsidP="008870FD">
            <w:pPr>
              <w:spacing w:before="20" w:after="20"/>
              <w:jc w:val="both"/>
              <w:rPr>
                <w:rFonts w:cs="Arial"/>
                <w:sz w:val="20"/>
                <w:szCs w:val="20"/>
                <w:lang w:eastAsia="en-AU"/>
              </w:rPr>
            </w:pPr>
          </w:p>
          <w:p w14:paraId="5008CFCA" w14:textId="77777777" w:rsidR="002E3F82" w:rsidRPr="00D60904" w:rsidRDefault="002E3F82" w:rsidP="008870FD">
            <w:pPr>
              <w:spacing w:before="20" w:after="20"/>
              <w:jc w:val="both"/>
              <w:rPr>
                <w:rFonts w:cs="Arial"/>
                <w:sz w:val="20"/>
                <w:szCs w:val="20"/>
                <w:lang w:eastAsia="en-AU"/>
              </w:rPr>
            </w:pPr>
            <w:r w:rsidRPr="00D60904">
              <w:rPr>
                <w:rFonts w:cs="Arial"/>
                <w:sz w:val="20"/>
                <w:szCs w:val="20"/>
                <w:lang w:eastAsia="en-AU"/>
              </w:rPr>
              <w:t>The consent authority must have regard to the objectives for development in a zone when determining a development application in respect of land within a zone.</w:t>
            </w:r>
          </w:p>
          <w:p w14:paraId="7D184D59" w14:textId="77777777" w:rsidR="002E3F82" w:rsidRPr="00D60904" w:rsidRDefault="002E3F82" w:rsidP="008870FD">
            <w:pPr>
              <w:spacing w:before="20" w:after="20"/>
              <w:jc w:val="both"/>
              <w:rPr>
                <w:rFonts w:cs="Arial"/>
                <w:sz w:val="20"/>
                <w:szCs w:val="20"/>
                <w:lang w:eastAsia="en-AU"/>
              </w:rPr>
            </w:pPr>
          </w:p>
          <w:p w14:paraId="285C4EC9" w14:textId="284D2B1E" w:rsidR="002E3F82" w:rsidRPr="00D60904" w:rsidRDefault="002E3F82" w:rsidP="008870FD">
            <w:pPr>
              <w:spacing w:before="20" w:after="20"/>
              <w:jc w:val="both"/>
              <w:rPr>
                <w:rFonts w:cs="Arial"/>
                <w:sz w:val="20"/>
                <w:szCs w:val="20"/>
                <w:lang w:eastAsia="en-AU"/>
              </w:rPr>
            </w:pPr>
            <w:r w:rsidRPr="00D60904">
              <w:rPr>
                <w:rFonts w:cs="Arial"/>
                <w:sz w:val="20"/>
                <w:szCs w:val="20"/>
                <w:lang w:eastAsia="en-AU"/>
              </w:rPr>
              <w:t xml:space="preserve">The </w:t>
            </w:r>
            <w:r w:rsidR="00E25ED4">
              <w:rPr>
                <w:rFonts w:cs="Arial"/>
                <w:sz w:val="20"/>
                <w:szCs w:val="20"/>
                <w:lang w:eastAsia="en-AU"/>
              </w:rPr>
              <w:t>IN1 General Industrial</w:t>
            </w:r>
            <w:r>
              <w:rPr>
                <w:rFonts w:cs="Arial"/>
                <w:sz w:val="20"/>
                <w:szCs w:val="20"/>
                <w:lang w:eastAsia="en-AU"/>
              </w:rPr>
              <w:t xml:space="preserve"> </w:t>
            </w:r>
            <w:r w:rsidRPr="00D60904">
              <w:rPr>
                <w:rFonts w:cs="Arial"/>
                <w:sz w:val="20"/>
                <w:szCs w:val="20"/>
                <w:lang w:eastAsia="en-AU"/>
              </w:rPr>
              <w:t>zone objectives are:</w:t>
            </w:r>
          </w:p>
          <w:p w14:paraId="78474DCE" w14:textId="77777777" w:rsidR="002E3F82" w:rsidRPr="00FB7B00" w:rsidRDefault="002E3F82" w:rsidP="008870FD">
            <w:pPr>
              <w:spacing w:before="20" w:after="20"/>
              <w:jc w:val="both"/>
              <w:rPr>
                <w:rFonts w:cs="Arial"/>
                <w:sz w:val="20"/>
                <w:szCs w:val="20"/>
                <w:lang w:eastAsia="en-AU"/>
              </w:rPr>
            </w:pPr>
          </w:p>
          <w:p w14:paraId="21CFEC69" w14:textId="65F758C5" w:rsidR="00E25ED4" w:rsidRPr="00E25ED4" w:rsidRDefault="00E25ED4" w:rsidP="008870FD">
            <w:pPr>
              <w:pStyle w:val="ListParagraph"/>
              <w:numPr>
                <w:ilvl w:val="0"/>
                <w:numId w:val="1"/>
              </w:numPr>
              <w:spacing w:before="20" w:after="20"/>
              <w:jc w:val="both"/>
              <w:rPr>
                <w:rFonts w:cs="Arial"/>
                <w:sz w:val="20"/>
                <w:szCs w:val="20"/>
                <w:lang w:eastAsia="en-AU"/>
              </w:rPr>
            </w:pPr>
            <w:r w:rsidRPr="00E25ED4">
              <w:rPr>
                <w:rFonts w:cs="Arial"/>
                <w:sz w:val="20"/>
                <w:szCs w:val="20"/>
                <w:lang w:eastAsia="en-AU"/>
              </w:rPr>
              <w:t>To provide for a wide range of industrial and warehouse land uses.</w:t>
            </w:r>
          </w:p>
          <w:p w14:paraId="40AD49D1" w14:textId="19539C1A" w:rsidR="00E25ED4" w:rsidRPr="00E25ED4" w:rsidRDefault="00E25ED4" w:rsidP="008870FD">
            <w:pPr>
              <w:pStyle w:val="ListParagraph"/>
              <w:numPr>
                <w:ilvl w:val="0"/>
                <w:numId w:val="1"/>
              </w:numPr>
              <w:spacing w:before="20" w:after="20"/>
              <w:jc w:val="both"/>
              <w:rPr>
                <w:rFonts w:cs="Arial"/>
                <w:sz w:val="20"/>
                <w:szCs w:val="20"/>
                <w:lang w:eastAsia="en-AU"/>
              </w:rPr>
            </w:pPr>
            <w:r w:rsidRPr="00E25ED4">
              <w:rPr>
                <w:rFonts w:cs="Arial"/>
                <w:sz w:val="20"/>
                <w:szCs w:val="20"/>
                <w:lang w:eastAsia="en-AU"/>
              </w:rPr>
              <w:t>To encourage employment opportunities.</w:t>
            </w:r>
          </w:p>
          <w:p w14:paraId="52F5B050" w14:textId="69B54B17" w:rsidR="00E25ED4" w:rsidRPr="00E25ED4" w:rsidRDefault="00E25ED4" w:rsidP="008870FD">
            <w:pPr>
              <w:pStyle w:val="ListParagraph"/>
              <w:numPr>
                <w:ilvl w:val="0"/>
                <w:numId w:val="1"/>
              </w:numPr>
              <w:spacing w:before="20" w:after="20"/>
              <w:jc w:val="both"/>
              <w:rPr>
                <w:rFonts w:cs="Arial"/>
                <w:sz w:val="20"/>
                <w:szCs w:val="20"/>
                <w:lang w:eastAsia="en-AU"/>
              </w:rPr>
            </w:pPr>
            <w:r w:rsidRPr="00E25ED4">
              <w:rPr>
                <w:rFonts w:cs="Arial"/>
                <w:sz w:val="20"/>
                <w:szCs w:val="20"/>
                <w:lang w:eastAsia="en-AU"/>
              </w:rPr>
              <w:t>To minimise any adverse effect of industry on other land uses.</w:t>
            </w:r>
          </w:p>
          <w:p w14:paraId="6805F991" w14:textId="2C8DDA55" w:rsidR="002E3F82" w:rsidRDefault="00E25ED4" w:rsidP="008870FD">
            <w:pPr>
              <w:numPr>
                <w:ilvl w:val="0"/>
                <w:numId w:val="1"/>
              </w:numPr>
              <w:jc w:val="both"/>
              <w:rPr>
                <w:rFonts w:cs="Arial"/>
                <w:sz w:val="20"/>
                <w:szCs w:val="20"/>
                <w:lang w:eastAsia="en-AU"/>
              </w:rPr>
            </w:pPr>
            <w:r w:rsidRPr="00E25ED4">
              <w:rPr>
                <w:rFonts w:cs="Arial"/>
                <w:sz w:val="20"/>
                <w:szCs w:val="20"/>
                <w:lang w:eastAsia="en-AU"/>
              </w:rPr>
              <w:t>To support and protect industrial land for industrial purposes.</w:t>
            </w:r>
          </w:p>
          <w:p w14:paraId="396B4AC7" w14:textId="50594932" w:rsidR="00E25ED4" w:rsidRPr="00E25ED4" w:rsidRDefault="00E25ED4" w:rsidP="008870FD">
            <w:pPr>
              <w:numPr>
                <w:ilvl w:val="0"/>
                <w:numId w:val="1"/>
              </w:numPr>
              <w:jc w:val="both"/>
              <w:rPr>
                <w:rFonts w:cs="Arial"/>
                <w:sz w:val="20"/>
                <w:szCs w:val="20"/>
                <w:lang w:eastAsia="en-AU"/>
              </w:rPr>
            </w:pPr>
            <w:r w:rsidRPr="00E25ED4">
              <w:rPr>
                <w:rFonts w:cs="Arial"/>
                <w:sz w:val="20"/>
                <w:szCs w:val="20"/>
                <w:lang w:eastAsia="en-AU"/>
              </w:rPr>
              <w:t>To enable other land uses that provide facilities or services to meet the day to day needs of</w:t>
            </w:r>
            <w:r>
              <w:rPr>
                <w:rFonts w:cs="Arial"/>
                <w:sz w:val="20"/>
                <w:szCs w:val="20"/>
                <w:lang w:eastAsia="en-AU"/>
              </w:rPr>
              <w:t xml:space="preserve"> </w:t>
            </w:r>
            <w:r w:rsidRPr="00E25ED4">
              <w:rPr>
                <w:rFonts w:cs="Arial"/>
                <w:sz w:val="20"/>
                <w:szCs w:val="20"/>
                <w:lang w:eastAsia="en-AU"/>
              </w:rPr>
              <w:t>workers in the area.</w:t>
            </w:r>
          </w:p>
          <w:p w14:paraId="208FDAB5" w14:textId="1FC3964D" w:rsidR="002E3F82" w:rsidRPr="00E25ED4" w:rsidRDefault="00E25ED4" w:rsidP="008870FD">
            <w:pPr>
              <w:numPr>
                <w:ilvl w:val="0"/>
                <w:numId w:val="1"/>
              </w:numPr>
              <w:jc w:val="both"/>
              <w:rPr>
                <w:rFonts w:cs="Arial"/>
                <w:sz w:val="20"/>
                <w:szCs w:val="20"/>
                <w:lang w:eastAsia="en-AU"/>
              </w:rPr>
            </w:pPr>
            <w:r w:rsidRPr="00E25ED4">
              <w:rPr>
                <w:rFonts w:cs="Arial"/>
                <w:sz w:val="20"/>
                <w:szCs w:val="20"/>
                <w:lang w:eastAsia="en-AU"/>
              </w:rPr>
              <w:t>To enable non-industrial land uses that are compatible with and do not detract from the</w:t>
            </w:r>
            <w:r>
              <w:rPr>
                <w:rFonts w:cs="Arial"/>
                <w:sz w:val="20"/>
                <w:szCs w:val="20"/>
                <w:lang w:eastAsia="en-AU"/>
              </w:rPr>
              <w:t xml:space="preserve"> </w:t>
            </w:r>
            <w:r w:rsidRPr="00E25ED4">
              <w:rPr>
                <w:rFonts w:cs="Arial"/>
                <w:sz w:val="20"/>
                <w:szCs w:val="20"/>
                <w:lang w:eastAsia="en-AU"/>
              </w:rPr>
              <w:t>surrounding industrial and warehouse land uses.</w:t>
            </w:r>
          </w:p>
        </w:tc>
        <w:tc>
          <w:tcPr>
            <w:tcW w:w="3969" w:type="dxa"/>
          </w:tcPr>
          <w:p w14:paraId="49C61F74" w14:textId="17027520" w:rsidR="002E3F82" w:rsidRDefault="002E3F82" w:rsidP="008870FD">
            <w:pPr>
              <w:jc w:val="both"/>
              <w:rPr>
                <w:sz w:val="20"/>
                <w:szCs w:val="20"/>
              </w:rPr>
            </w:pPr>
            <w:r>
              <w:rPr>
                <w:sz w:val="20"/>
                <w:szCs w:val="20"/>
              </w:rPr>
              <w:t xml:space="preserve">The </w:t>
            </w:r>
            <w:r w:rsidR="00E25ED4">
              <w:rPr>
                <w:sz w:val="20"/>
                <w:szCs w:val="20"/>
              </w:rPr>
              <w:t xml:space="preserve">proposed </w:t>
            </w:r>
            <w:r w:rsidR="00587D5B">
              <w:rPr>
                <w:sz w:val="20"/>
                <w:szCs w:val="20"/>
              </w:rPr>
              <w:t>upgrade works to the D</w:t>
            </w:r>
            <w:r w:rsidR="00E25ED4">
              <w:rPr>
                <w:sz w:val="20"/>
                <w:szCs w:val="20"/>
              </w:rPr>
              <w:t>epot</w:t>
            </w:r>
            <w:r>
              <w:rPr>
                <w:sz w:val="20"/>
                <w:szCs w:val="20"/>
              </w:rPr>
              <w:t xml:space="preserve"> </w:t>
            </w:r>
            <w:r w:rsidR="00587D5B">
              <w:rPr>
                <w:sz w:val="20"/>
                <w:szCs w:val="20"/>
              </w:rPr>
              <w:t>are</w:t>
            </w:r>
            <w:r>
              <w:rPr>
                <w:sz w:val="20"/>
                <w:szCs w:val="20"/>
              </w:rPr>
              <w:t xml:space="preserve"> </w:t>
            </w:r>
            <w:r w:rsidR="00E25ED4">
              <w:rPr>
                <w:sz w:val="20"/>
                <w:szCs w:val="20"/>
              </w:rPr>
              <w:t xml:space="preserve">permitted </w:t>
            </w:r>
            <w:r w:rsidR="008870FD">
              <w:rPr>
                <w:sz w:val="20"/>
                <w:szCs w:val="20"/>
              </w:rPr>
              <w:t xml:space="preserve">with consent </w:t>
            </w:r>
            <w:r w:rsidR="00E25ED4">
              <w:rPr>
                <w:sz w:val="20"/>
                <w:szCs w:val="20"/>
              </w:rPr>
              <w:t>in the IN1</w:t>
            </w:r>
            <w:r w:rsidR="008870FD">
              <w:rPr>
                <w:sz w:val="20"/>
                <w:szCs w:val="20"/>
              </w:rPr>
              <w:t xml:space="preserve"> General Industrial</w:t>
            </w:r>
            <w:r w:rsidR="00E25ED4">
              <w:rPr>
                <w:sz w:val="20"/>
                <w:szCs w:val="20"/>
              </w:rPr>
              <w:t xml:space="preserve"> zone</w:t>
            </w:r>
            <w:r>
              <w:rPr>
                <w:sz w:val="20"/>
                <w:szCs w:val="20"/>
              </w:rPr>
              <w:t xml:space="preserve">. </w:t>
            </w:r>
          </w:p>
          <w:p w14:paraId="50B18CD7" w14:textId="77777777" w:rsidR="002E3F82" w:rsidRDefault="002E3F82" w:rsidP="008870FD">
            <w:pPr>
              <w:jc w:val="both"/>
              <w:rPr>
                <w:sz w:val="20"/>
                <w:szCs w:val="20"/>
              </w:rPr>
            </w:pPr>
          </w:p>
          <w:p w14:paraId="4674FCEE" w14:textId="590627E8" w:rsidR="002E3F82" w:rsidRDefault="002E3F82" w:rsidP="008870FD">
            <w:pPr>
              <w:jc w:val="both"/>
              <w:rPr>
                <w:sz w:val="20"/>
                <w:szCs w:val="20"/>
              </w:rPr>
            </w:pPr>
            <w:r>
              <w:rPr>
                <w:sz w:val="20"/>
                <w:szCs w:val="20"/>
              </w:rPr>
              <w:t xml:space="preserve">The development is consistent with the relevant objectives of the </w:t>
            </w:r>
            <w:r w:rsidR="00E25ED4">
              <w:rPr>
                <w:sz w:val="20"/>
                <w:szCs w:val="20"/>
              </w:rPr>
              <w:t>IN1</w:t>
            </w:r>
            <w:r>
              <w:rPr>
                <w:sz w:val="20"/>
                <w:szCs w:val="20"/>
              </w:rPr>
              <w:t xml:space="preserve"> zone in that:</w:t>
            </w:r>
          </w:p>
          <w:p w14:paraId="111814B9" w14:textId="77777777" w:rsidR="002E3F82" w:rsidRDefault="002E3F82" w:rsidP="008870FD">
            <w:pPr>
              <w:jc w:val="both"/>
              <w:rPr>
                <w:sz w:val="20"/>
                <w:szCs w:val="20"/>
              </w:rPr>
            </w:pPr>
          </w:p>
          <w:p w14:paraId="6B6A374C" w14:textId="77777777" w:rsidR="002E3F82" w:rsidRDefault="00AD506B" w:rsidP="008870FD">
            <w:pPr>
              <w:pStyle w:val="ListParagraph"/>
              <w:numPr>
                <w:ilvl w:val="0"/>
                <w:numId w:val="2"/>
              </w:numPr>
              <w:jc w:val="both"/>
              <w:rPr>
                <w:sz w:val="20"/>
                <w:szCs w:val="20"/>
              </w:rPr>
            </w:pPr>
            <w:r>
              <w:rPr>
                <w:sz w:val="20"/>
                <w:szCs w:val="20"/>
              </w:rPr>
              <w:t>The development is an industrial land use.</w:t>
            </w:r>
          </w:p>
          <w:p w14:paraId="6EB3805B" w14:textId="77777777" w:rsidR="00AD506B" w:rsidRDefault="00AD506B" w:rsidP="008870FD">
            <w:pPr>
              <w:pStyle w:val="ListParagraph"/>
              <w:numPr>
                <w:ilvl w:val="0"/>
                <w:numId w:val="2"/>
              </w:numPr>
              <w:jc w:val="both"/>
              <w:rPr>
                <w:sz w:val="20"/>
                <w:szCs w:val="20"/>
              </w:rPr>
            </w:pPr>
            <w:r>
              <w:rPr>
                <w:sz w:val="20"/>
                <w:szCs w:val="20"/>
              </w:rPr>
              <w:t>The development caters for increased employment opportunities.</w:t>
            </w:r>
          </w:p>
          <w:p w14:paraId="5BE743EA" w14:textId="77777777" w:rsidR="00AD506B" w:rsidRDefault="00AD506B" w:rsidP="008870FD">
            <w:pPr>
              <w:pStyle w:val="ListParagraph"/>
              <w:numPr>
                <w:ilvl w:val="0"/>
                <w:numId w:val="2"/>
              </w:numPr>
              <w:jc w:val="both"/>
              <w:rPr>
                <w:sz w:val="20"/>
                <w:szCs w:val="20"/>
              </w:rPr>
            </w:pPr>
            <w:r>
              <w:rPr>
                <w:sz w:val="20"/>
                <w:szCs w:val="20"/>
              </w:rPr>
              <w:t>The development incorporates measures to minimize adverse effects of the use on other land uses.</w:t>
            </w:r>
          </w:p>
          <w:p w14:paraId="074D66FC" w14:textId="571A37CB" w:rsidR="00AD506B" w:rsidRPr="00E25ED4" w:rsidRDefault="00AD506B" w:rsidP="008870FD">
            <w:pPr>
              <w:pStyle w:val="ListParagraph"/>
              <w:numPr>
                <w:ilvl w:val="0"/>
                <w:numId w:val="2"/>
              </w:numPr>
              <w:jc w:val="both"/>
              <w:rPr>
                <w:sz w:val="20"/>
                <w:szCs w:val="20"/>
              </w:rPr>
            </w:pPr>
            <w:r>
              <w:rPr>
                <w:sz w:val="20"/>
                <w:szCs w:val="20"/>
              </w:rPr>
              <w:t>The development will not impinge on the ability of any other land to be developed.</w:t>
            </w:r>
          </w:p>
        </w:tc>
        <w:tc>
          <w:tcPr>
            <w:tcW w:w="1843" w:type="dxa"/>
          </w:tcPr>
          <w:p w14:paraId="3F747DFB" w14:textId="77777777" w:rsidR="002E3F82" w:rsidRPr="0073738D" w:rsidRDefault="002E3F82" w:rsidP="009F2398">
            <w:pPr>
              <w:spacing w:before="20" w:after="20"/>
              <w:rPr>
                <w:rFonts w:cs="Arial"/>
                <w:bCs/>
                <w:sz w:val="20"/>
                <w:szCs w:val="20"/>
                <w:lang w:eastAsia="en-AU"/>
              </w:rPr>
            </w:pPr>
            <w:r>
              <w:rPr>
                <w:rFonts w:cs="Arial"/>
                <w:bCs/>
                <w:sz w:val="20"/>
                <w:szCs w:val="20"/>
                <w:lang w:eastAsia="en-AU"/>
              </w:rPr>
              <w:t>Yes.</w:t>
            </w:r>
          </w:p>
        </w:tc>
      </w:tr>
      <w:tr w:rsidR="002E3F82" w:rsidRPr="00D60904" w14:paraId="736B497E" w14:textId="77777777" w:rsidTr="009F2398">
        <w:trPr>
          <w:trHeight w:val="214"/>
        </w:trPr>
        <w:tc>
          <w:tcPr>
            <w:tcW w:w="3970" w:type="dxa"/>
            <w:shd w:val="clear" w:color="auto" w:fill="auto"/>
          </w:tcPr>
          <w:p w14:paraId="0E258ADE" w14:textId="77777777" w:rsidR="002E3F82" w:rsidRPr="00D60904" w:rsidRDefault="002E3F82" w:rsidP="009F2398">
            <w:pPr>
              <w:spacing w:before="20" w:after="20"/>
              <w:rPr>
                <w:rFonts w:cs="Arial"/>
                <w:b/>
                <w:sz w:val="20"/>
                <w:szCs w:val="20"/>
                <w:lang w:eastAsia="en-AU"/>
              </w:rPr>
            </w:pPr>
            <w:r w:rsidRPr="00D60904">
              <w:rPr>
                <w:rFonts w:cs="Arial"/>
                <w:b/>
                <w:sz w:val="20"/>
                <w:szCs w:val="20"/>
                <w:lang w:eastAsia="en-AU"/>
              </w:rPr>
              <w:t>2.7 Demolition requires development consent</w:t>
            </w:r>
          </w:p>
          <w:p w14:paraId="514D11BB" w14:textId="77777777" w:rsidR="002E3F82" w:rsidRPr="00D60904" w:rsidRDefault="002E3F82" w:rsidP="009F2398">
            <w:pPr>
              <w:spacing w:before="20" w:after="20"/>
              <w:rPr>
                <w:rFonts w:cs="Arial"/>
                <w:sz w:val="20"/>
                <w:szCs w:val="20"/>
                <w:lang w:eastAsia="en-AU"/>
              </w:rPr>
            </w:pPr>
          </w:p>
          <w:p w14:paraId="14AE1DC9" w14:textId="77777777" w:rsidR="002E3F82" w:rsidRPr="00D60904" w:rsidRDefault="002E3F82" w:rsidP="008870FD">
            <w:pPr>
              <w:spacing w:before="20" w:after="20"/>
              <w:jc w:val="both"/>
              <w:rPr>
                <w:rFonts w:cs="Arial"/>
                <w:sz w:val="20"/>
                <w:szCs w:val="20"/>
                <w:lang w:eastAsia="en-AU"/>
              </w:rPr>
            </w:pPr>
            <w:r w:rsidRPr="00D60904">
              <w:rPr>
                <w:rFonts w:cs="Arial"/>
                <w:sz w:val="20"/>
                <w:szCs w:val="20"/>
                <w:lang w:eastAsia="en-AU"/>
              </w:rPr>
              <w:t>Development consent is required to demolish a building or work (unless the demolition is exempt or complying development under another environmental planning instrument).</w:t>
            </w:r>
          </w:p>
        </w:tc>
        <w:tc>
          <w:tcPr>
            <w:tcW w:w="3969" w:type="dxa"/>
          </w:tcPr>
          <w:p w14:paraId="76B95C3E" w14:textId="4C0B763C" w:rsidR="002E3F82" w:rsidRPr="00D60904" w:rsidRDefault="00E25ED4" w:rsidP="008870FD">
            <w:pPr>
              <w:spacing w:before="20" w:after="20"/>
              <w:jc w:val="both"/>
              <w:rPr>
                <w:rFonts w:cs="Arial"/>
                <w:sz w:val="20"/>
                <w:szCs w:val="20"/>
                <w:lang w:eastAsia="en-AU"/>
              </w:rPr>
            </w:pPr>
            <w:r w:rsidRPr="00E25ED4">
              <w:rPr>
                <w:rFonts w:cs="Arial"/>
                <w:sz w:val="20"/>
                <w:szCs w:val="20"/>
                <w:lang w:eastAsia="en-AU"/>
              </w:rPr>
              <w:t xml:space="preserve">Consent for demolition of the various elements as indicated </w:t>
            </w:r>
            <w:r w:rsidR="008870FD">
              <w:rPr>
                <w:rFonts w:cs="Arial"/>
                <w:sz w:val="20"/>
                <w:szCs w:val="20"/>
                <w:lang w:eastAsia="en-AU"/>
              </w:rPr>
              <w:t>i</w:t>
            </w:r>
            <w:r w:rsidRPr="00E25ED4">
              <w:rPr>
                <w:rFonts w:cs="Arial"/>
                <w:sz w:val="20"/>
                <w:szCs w:val="20"/>
                <w:lang w:eastAsia="en-AU"/>
              </w:rPr>
              <w:t>n the Demolition Plans that</w:t>
            </w:r>
            <w:r>
              <w:rPr>
                <w:rFonts w:cs="Arial"/>
                <w:sz w:val="20"/>
                <w:szCs w:val="20"/>
                <w:lang w:eastAsia="en-AU"/>
              </w:rPr>
              <w:t xml:space="preserve"> </w:t>
            </w:r>
            <w:r w:rsidRPr="00E25ED4">
              <w:rPr>
                <w:rFonts w:cs="Arial"/>
                <w:sz w:val="20"/>
                <w:szCs w:val="20"/>
                <w:lang w:eastAsia="en-AU"/>
              </w:rPr>
              <w:t>accompan</w:t>
            </w:r>
            <w:r w:rsidR="00DD4440">
              <w:rPr>
                <w:rFonts w:cs="Arial"/>
                <w:sz w:val="20"/>
                <w:szCs w:val="20"/>
                <w:lang w:eastAsia="en-AU"/>
              </w:rPr>
              <w:t>y</w:t>
            </w:r>
            <w:r w:rsidRPr="00E25ED4">
              <w:rPr>
                <w:rFonts w:cs="Arial"/>
                <w:sz w:val="20"/>
                <w:szCs w:val="20"/>
                <w:lang w:eastAsia="en-AU"/>
              </w:rPr>
              <w:t xml:space="preserve"> the</w:t>
            </w:r>
            <w:r w:rsidR="008870FD">
              <w:rPr>
                <w:rFonts w:cs="Arial"/>
                <w:sz w:val="20"/>
                <w:szCs w:val="20"/>
                <w:lang w:eastAsia="en-AU"/>
              </w:rPr>
              <w:t xml:space="preserve"> application</w:t>
            </w:r>
            <w:r w:rsidRPr="00E25ED4">
              <w:rPr>
                <w:rFonts w:cs="Arial"/>
                <w:sz w:val="20"/>
                <w:szCs w:val="20"/>
                <w:lang w:eastAsia="en-AU"/>
              </w:rPr>
              <w:t xml:space="preserve"> is being sought.</w:t>
            </w:r>
            <w:r w:rsidR="008870FD">
              <w:rPr>
                <w:rFonts w:cs="Arial"/>
                <w:sz w:val="20"/>
                <w:szCs w:val="20"/>
                <w:lang w:eastAsia="en-AU"/>
              </w:rPr>
              <w:t xml:space="preserve">  No concern is raised with the demolition proposed.</w:t>
            </w:r>
          </w:p>
        </w:tc>
        <w:tc>
          <w:tcPr>
            <w:tcW w:w="1843" w:type="dxa"/>
          </w:tcPr>
          <w:p w14:paraId="4014A784" w14:textId="77777777" w:rsidR="002E3F82" w:rsidRPr="00D60904" w:rsidRDefault="002E3F82" w:rsidP="009F2398">
            <w:pPr>
              <w:spacing w:before="20" w:after="20"/>
              <w:rPr>
                <w:rFonts w:cs="Arial"/>
                <w:bCs/>
                <w:sz w:val="20"/>
                <w:szCs w:val="20"/>
                <w:lang w:eastAsia="en-AU"/>
              </w:rPr>
            </w:pPr>
            <w:r>
              <w:rPr>
                <w:rFonts w:cs="Arial"/>
                <w:bCs/>
                <w:sz w:val="20"/>
                <w:szCs w:val="20"/>
                <w:lang w:eastAsia="en-AU"/>
              </w:rPr>
              <w:t>Yes.</w:t>
            </w:r>
          </w:p>
        </w:tc>
      </w:tr>
      <w:tr w:rsidR="00E25ED4" w:rsidRPr="00D60904" w14:paraId="7F4510CD" w14:textId="77777777" w:rsidTr="009F2398">
        <w:trPr>
          <w:trHeight w:val="214"/>
        </w:trPr>
        <w:tc>
          <w:tcPr>
            <w:tcW w:w="3970" w:type="dxa"/>
            <w:shd w:val="clear" w:color="auto" w:fill="auto"/>
          </w:tcPr>
          <w:p w14:paraId="1282B4FA" w14:textId="56D17474" w:rsidR="00E25ED4" w:rsidRDefault="00E25ED4" w:rsidP="00E25ED4">
            <w:pPr>
              <w:spacing w:before="20" w:after="20"/>
              <w:rPr>
                <w:rFonts w:cs="Arial"/>
                <w:b/>
                <w:sz w:val="20"/>
                <w:szCs w:val="20"/>
                <w:lang w:eastAsia="en-AU"/>
              </w:rPr>
            </w:pPr>
            <w:r>
              <w:rPr>
                <w:rFonts w:cs="Arial"/>
                <w:b/>
                <w:sz w:val="20"/>
                <w:szCs w:val="20"/>
                <w:lang w:eastAsia="en-AU"/>
              </w:rPr>
              <w:t>4.3 Building Height</w:t>
            </w:r>
          </w:p>
          <w:p w14:paraId="3B65944A" w14:textId="77777777" w:rsidR="00E25ED4" w:rsidRDefault="00E25ED4" w:rsidP="00E25ED4">
            <w:pPr>
              <w:spacing w:before="20" w:after="20"/>
              <w:rPr>
                <w:rFonts w:cs="Arial"/>
                <w:b/>
                <w:sz w:val="20"/>
                <w:szCs w:val="20"/>
                <w:lang w:eastAsia="en-AU"/>
              </w:rPr>
            </w:pPr>
          </w:p>
          <w:p w14:paraId="67FA7635" w14:textId="6C31381D" w:rsidR="00E25ED4" w:rsidRPr="00D60904" w:rsidRDefault="00E25ED4" w:rsidP="008870FD">
            <w:pPr>
              <w:spacing w:before="20" w:after="20"/>
              <w:jc w:val="both"/>
              <w:rPr>
                <w:rFonts w:cs="Arial"/>
                <w:b/>
                <w:sz w:val="20"/>
                <w:szCs w:val="20"/>
                <w:lang w:eastAsia="en-AU"/>
              </w:rPr>
            </w:pPr>
            <w:r>
              <w:rPr>
                <w:rFonts w:cs="Arial"/>
                <w:bCs/>
                <w:sz w:val="20"/>
                <w:szCs w:val="20"/>
                <w:lang w:eastAsia="en-AU"/>
              </w:rPr>
              <w:t>M</w:t>
            </w:r>
            <w:r w:rsidRPr="00E25ED4">
              <w:rPr>
                <w:rFonts w:cs="Arial"/>
                <w:bCs/>
                <w:sz w:val="20"/>
                <w:szCs w:val="20"/>
                <w:lang w:eastAsia="en-AU"/>
              </w:rPr>
              <w:t>aximum building height of</w:t>
            </w:r>
            <w:r>
              <w:rPr>
                <w:rFonts w:cs="Arial"/>
                <w:bCs/>
                <w:sz w:val="20"/>
                <w:szCs w:val="20"/>
                <w:lang w:eastAsia="en-AU"/>
              </w:rPr>
              <w:t xml:space="preserve"> </w:t>
            </w:r>
            <w:r w:rsidRPr="00E25ED4">
              <w:rPr>
                <w:rFonts w:cs="Arial"/>
                <w:bCs/>
                <w:sz w:val="20"/>
                <w:szCs w:val="20"/>
                <w:lang w:eastAsia="en-AU"/>
              </w:rPr>
              <w:t>9.5m, as indicated on the Height of Buildings Map</w:t>
            </w:r>
          </w:p>
        </w:tc>
        <w:tc>
          <w:tcPr>
            <w:tcW w:w="3969" w:type="dxa"/>
          </w:tcPr>
          <w:p w14:paraId="0E95BADB" w14:textId="2C0C9302" w:rsidR="00E25ED4" w:rsidRDefault="00E25ED4" w:rsidP="008870FD">
            <w:pPr>
              <w:spacing w:before="20" w:after="20"/>
              <w:jc w:val="both"/>
              <w:rPr>
                <w:rFonts w:cs="Arial"/>
                <w:sz w:val="20"/>
                <w:szCs w:val="20"/>
                <w:lang w:eastAsia="en-AU"/>
              </w:rPr>
            </w:pPr>
            <w:r w:rsidRPr="00E25ED4">
              <w:rPr>
                <w:rFonts w:cs="Arial"/>
                <w:sz w:val="20"/>
                <w:szCs w:val="20"/>
                <w:lang w:eastAsia="en-AU"/>
              </w:rPr>
              <w:t>None of the proposed new buildings or structures on the site will exceed 9.5m in height.</w:t>
            </w:r>
            <w:r>
              <w:rPr>
                <w:rFonts w:cs="Arial"/>
                <w:sz w:val="20"/>
                <w:szCs w:val="20"/>
                <w:lang w:eastAsia="en-AU"/>
              </w:rPr>
              <w:t xml:space="preserve"> </w:t>
            </w:r>
            <w:r w:rsidRPr="00E25ED4">
              <w:rPr>
                <w:rFonts w:cs="Arial"/>
                <w:sz w:val="20"/>
                <w:szCs w:val="20"/>
                <w:lang w:eastAsia="en-AU"/>
              </w:rPr>
              <w:t xml:space="preserve">The highest proposed structure is the new </w:t>
            </w:r>
            <w:r w:rsidR="008870FD">
              <w:rPr>
                <w:rFonts w:cs="Arial"/>
                <w:sz w:val="20"/>
                <w:szCs w:val="20"/>
                <w:lang w:eastAsia="en-AU"/>
              </w:rPr>
              <w:t>four</w:t>
            </w:r>
            <w:r w:rsidRPr="00E25ED4">
              <w:rPr>
                <w:rFonts w:cs="Arial"/>
                <w:sz w:val="20"/>
                <w:szCs w:val="20"/>
                <w:lang w:eastAsia="en-AU"/>
              </w:rPr>
              <w:t xml:space="preserve"> </w:t>
            </w:r>
            <w:r w:rsidR="008870FD">
              <w:rPr>
                <w:rFonts w:cs="Arial"/>
                <w:sz w:val="20"/>
                <w:szCs w:val="20"/>
                <w:lang w:eastAsia="en-AU"/>
              </w:rPr>
              <w:t>b</w:t>
            </w:r>
            <w:r w:rsidRPr="00E25ED4">
              <w:rPr>
                <w:rFonts w:cs="Arial"/>
                <w:sz w:val="20"/>
                <w:szCs w:val="20"/>
                <w:lang w:eastAsia="en-AU"/>
              </w:rPr>
              <w:t xml:space="preserve">ay workshop </w:t>
            </w:r>
            <w:r w:rsidRPr="00AD506B">
              <w:rPr>
                <w:rFonts w:cs="Arial"/>
                <w:sz w:val="20"/>
                <w:szCs w:val="20"/>
                <w:lang w:eastAsia="en-AU"/>
              </w:rPr>
              <w:t>that form</w:t>
            </w:r>
            <w:r w:rsidR="008870FD">
              <w:rPr>
                <w:rFonts w:cs="Arial"/>
                <w:sz w:val="20"/>
                <w:szCs w:val="20"/>
                <w:lang w:eastAsia="en-AU"/>
              </w:rPr>
              <w:t>s</w:t>
            </w:r>
            <w:r w:rsidRPr="00AD506B">
              <w:rPr>
                <w:rFonts w:cs="Arial"/>
                <w:sz w:val="20"/>
                <w:szCs w:val="20"/>
                <w:lang w:eastAsia="en-AU"/>
              </w:rPr>
              <w:t xml:space="preserve"> part of Building 10 which has a</w:t>
            </w:r>
            <w:r w:rsidR="008870FD">
              <w:rPr>
                <w:rFonts w:cs="Arial"/>
                <w:sz w:val="20"/>
                <w:szCs w:val="20"/>
                <w:lang w:eastAsia="en-AU"/>
              </w:rPr>
              <w:t xml:space="preserve"> maximum</w:t>
            </w:r>
            <w:r w:rsidRPr="00AD506B">
              <w:rPr>
                <w:rFonts w:cs="Arial"/>
                <w:sz w:val="20"/>
                <w:szCs w:val="20"/>
                <w:lang w:eastAsia="en-AU"/>
              </w:rPr>
              <w:t xml:space="preserve"> height of 9.5m.</w:t>
            </w:r>
          </w:p>
        </w:tc>
        <w:tc>
          <w:tcPr>
            <w:tcW w:w="1843" w:type="dxa"/>
          </w:tcPr>
          <w:p w14:paraId="212E10BE" w14:textId="2E44E858" w:rsidR="00E25ED4" w:rsidRDefault="00E25ED4" w:rsidP="009F2398">
            <w:pPr>
              <w:spacing w:before="20" w:after="20"/>
              <w:rPr>
                <w:rFonts w:cs="Arial"/>
                <w:bCs/>
                <w:sz w:val="20"/>
                <w:szCs w:val="20"/>
                <w:lang w:eastAsia="en-AU"/>
              </w:rPr>
            </w:pPr>
            <w:r>
              <w:rPr>
                <w:rFonts w:cs="Arial"/>
                <w:bCs/>
                <w:sz w:val="20"/>
                <w:szCs w:val="20"/>
                <w:lang w:eastAsia="en-AU"/>
              </w:rPr>
              <w:t>Yes.</w:t>
            </w:r>
          </w:p>
        </w:tc>
      </w:tr>
      <w:tr w:rsidR="00E25ED4" w:rsidRPr="00D60904" w14:paraId="1DE536E8" w14:textId="77777777" w:rsidTr="009F2398">
        <w:trPr>
          <w:trHeight w:val="214"/>
        </w:trPr>
        <w:tc>
          <w:tcPr>
            <w:tcW w:w="3970" w:type="dxa"/>
            <w:shd w:val="clear" w:color="auto" w:fill="auto"/>
          </w:tcPr>
          <w:p w14:paraId="71A3DA36" w14:textId="77777777" w:rsidR="00E25ED4" w:rsidRDefault="00E25ED4" w:rsidP="009F2398">
            <w:pPr>
              <w:spacing w:before="20" w:after="20"/>
              <w:rPr>
                <w:rFonts w:cs="Arial"/>
                <w:b/>
                <w:sz w:val="20"/>
                <w:szCs w:val="20"/>
                <w:lang w:eastAsia="en-AU"/>
              </w:rPr>
            </w:pPr>
            <w:r>
              <w:rPr>
                <w:rFonts w:cs="Arial"/>
                <w:b/>
                <w:sz w:val="20"/>
                <w:szCs w:val="20"/>
                <w:lang w:eastAsia="en-AU"/>
              </w:rPr>
              <w:t>4.4 Floor Space Ratio</w:t>
            </w:r>
          </w:p>
          <w:p w14:paraId="68CF8684" w14:textId="77777777" w:rsidR="00E25ED4" w:rsidRDefault="00E25ED4" w:rsidP="009F2398">
            <w:pPr>
              <w:spacing w:before="20" w:after="20"/>
              <w:rPr>
                <w:rFonts w:cs="Arial"/>
                <w:b/>
                <w:sz w:val="20"/>
                <w:szCs w:val="20"/>
                <w:lang w:eastAsia="en-AU"/>
              </w:rPr>
            </w:pPr>
          </w:p>
          <w:p w14:paraId="523FFB62" w14:textId="1291CADC" w:rsidR="00E25ED4" w:rsidRPr="00D60904" w:rsidRDefault="00E25ED4" w:rsidP="008870FD">
            <w:pPr>
              <w:spacing w:before="20" w:after="20"/>
              <w:jc w:val="both"/>
              <w:rPr>
                <w:rFonts w:cs="Arial"/>
                <w:b/>
                <w:sz w:val="20"/>
                <w:szCs w:val="20"/>
                <w:lang w:eastAsia="en-AU"/>
              </w:rPr>
            </w:pPr>
            <w:r w:rsidRPr="00E25ED4">
              <w:rPr>
                <w:rFonts w:cs="Arial"/>
                <w:bCs/>
                <w:sz w:val="20"/>
                <w:szCs w:val="20"/>
                <w:lang w:eastAsia="en-AU"/>
              </w:rPr>
              <w:t>Maximum floor space ratio of 1:1,</w:t>
            </w:r>
            <w:r>
              <w:rPr>
                <w:rFonts w:cs="Arial"/>
                <w:bCs/>
                <w:sz w:val="20"/>
                <w:szCs w:val="20"/>
                <w:lang w:eastAsia="en-AU"/>
              </w:rPr>
              <w:t xml:space="preserve"> </w:t>
            </w:r>
            <w:r w:rsidRPr="00E25ED4">
              <w:rPr>
                <w:rFonts w:cs="Arial"/>
                <w:bCs/>
                <w:sz w:val="20"/>
                <w:szCs w:val="20"/>
                <w:lang w:eastAsia="en-AU"/>
              </w:rPr>
              <w:t>as indicated on the Floor Space Ratio Map.</w:t>
            </w:r>
          </w:p>
        </w:tc>
        <w:tc>
          <w:tcPr>
            <w:tcW w:w="3969" w:type="dxa"/>
          </w:tcPr>
          <w:p w14:paraId="7B9BB42B" w14:textId="6B6B9962" w:rsidR="00E25ED4" w:rsidRDefault="00E25ED4" w:rsidP="008870FD">
            <w:pPr>
              <w:spacing w:before="20" w:after="20"/>
              <w:jc w:val="both"/>
              <w:rPr>
                <w:rFonts w:cs="Arial"/>
                <w:sz w:val="20"/>
                <w:szCs w:val="20"/>
                <w:lang w:eastAsia="en-AU"/>
              </w:rPr>
            </w:pPr>
            <w:r w:rsidRPr="00E25ED4">
              <w:rPr>
                <w:rFonts w:cs="Arial"/>
                <w:sz w:val="20"/>
                <w:szCs w:val="20"/>
                <w:lang w:eastAsia="en-AU"/>
              </w:rPr>
              <w:t>The gross floor area</w:t>
            </w:r>
            <w:r w:rsidR="00DD4440">
              <w:rPr>
                <w:rFonts w:cs="Arial"/>
                <w:sz w:val="20"/>
                <w:szCs w:val="20"/>
                <w:lang w:eastAsia="en-AU"/>
              </w:rPr>
              <w:t xml:space="preserve"> (GFA)</w:t>
            </w:r>
            <w:r w:rsidRPr="00E25ED4">
              <w:rPr>
                <w:rFonts w:cs="Arial"/>
                <w:sz w:val="20"/>
                <w:szCs w:val="20"/>
                <w:lang w:eastAsia="en-AU"/>
              </w:rPr>
              <w:t xml:space="preserve"> of all buildings that contribute to GFA on the site is approximately</w:t>
            </w:r>
            <w:r>
              <w:rPr>
                <w:rFonts w:cs="Arial"/>
                <w:sz w:val="20"/>
                <w:szCs w:val="20"/>
                <w:lang w:eastAsia="en-AU"/>
              </w:rPr>
              <w:t xml:space="preserve"> </w:t>
            </w:r>
            <w:r w:rsidRPr="00E25ED4">
              <w:rPr>
                <w:rFonts w:cs="Arial"/>
                <w:sz w:val="20"/>
                <w:szCs w:val="20"/>
                <w:lang w:eastAsia="en-AU"/>
              </w:rPr>
              <w:t>2,734</w:t>
            </w:r>
            <w:r w:rsidR="008870FD">
              <w:rPr>
                <w:rFonts w:cs="Arial"/>
                <w:sz w:val="20"/>
                <w:szCs w:val="20"/>
                <w:lang w:eastAsia="en-AU"/>
              </w:rPr>
              <w:t>sqm</w:t>
            </w:r>
            <w:r w:rsidRPr="00E25ED4">
              <w:rPr>
                <w:rFonts w:cs="Arial"/>
                <w:sz w:val="20"/>
                <w:szCs w:val="20"/>
                <w:lang w:eastAsia="en-AU"/>
              </w:rPr>
              <w:t xml:space="preserve">. This equates to a floor space ratio </w:t>
            </w:r>
            <w:r w:rsidR="00DD4440">
              <w:rPr>
                <w:rFonts w:cs="Arial"/>
                <w:sz w:val="20"/>
                <w:szCs w:val="20"/>
                <w:lang w:eastAsia="en-AU"/>
              </w:rPr>
              <w:t xml:space="preserve">(FSR) </w:t>
            </w:r>
            <w:r w:rsidRPr="00E25ED4">
              <w:rPr>
                <w:rFonts w:cs="Arial"/>
                <w:sz w:val="20"/>
                <w:szCs w:val="20"/>
                <w:lang w:eastAsia="en-AU"/>
              </w:rPr>
              <w:t xml:space="preserve">of 0.07:1 and is therefore well below the maximum </w:t>
            </w:r>
            <w:r w:rsidR="00DD4440">
              <w:rPr>
                <w:rFonts w:cs="Arial"/>
                <w:sz w:val="20"/>
                <w:szCs w:val="20"/>
                <w:lang w:eastAsia="en-AU"/>
              </w:rPr>
              <w:t>FSR</w:t>
            </w:r>
            <w:bookmarkStart w:id="0" w:name="_GoBack"/>
            <w:bookmarkEnd w:id="0"/>
            <w:r w:rsidRPr="00E25ED4">
              <w:rPr>
                <w:rFonts w:cs="Arial"/>
                <w:sz w:val="20"/>
                <w:szCs w:val="20"/>
                <w:lang w:eastAsia="en-AU"/>
              </w:rPr>
              <w:t xml:space="preserve"> of 1:1 prescribed for the site.</w:t>
            </w:r>
          </w:p>
        </w:tc>
        <w:tc>
          <w:tcPr>
            <w:tcW w:w="1843" w:type="dxa"/>
          </w:tcPr>
          <w:p w14:paraId="1F5BC019" w14:textId="5DAB6D37" w:rsidR="00E25ED4" w:rsidRDefault="00E25ED4" w:rsidP="009F2398">
            <w:pPr>
              <w:spacing w:before="20" w:after="20"/>
              <w:rPr>
                <w:rFonts w:cs="Arial"/>
                <w:bCs/>
                <w:sz w:val="20"/>
                <w:szCs w:val="20"/>
                <w:lang w:eastAsia="en-AU"/>
              </w:rPr>
            </w:pPr>
            <w:r>
              <w:rPr>
                <w:rFonts w:cs="Arial"/>
                <w:bCs/>
                <w:sz w:val="20"/>
                <w:szCs w:val="20"/>
                <w:lang w:eastAsia="en-AU"/>
              </w:rPr>
              <w:t>Yes.</w:t>
            </w:r>
          </w:p>
        </w:tc>
      </w:tr>
      <w:tr w:rsidR="002E3F82" w:rsidRPr="00D60904" w14:paraId="6C187F66" w14:textId="77777777" w:rsidTr="009F2398">
        <w:trPr>
          <w:trHeight w:val="60"/>
        </w:trPr>
        <w:tc>
          <w:tcPr>
            <w:tcW w:w="3970" w:type="dxa"/>
            <w:shd w:val="clear" w:color="auto" w:fill="auto"/>
          </w:tcPr>
          <w:p w14:paraId="75EF5F1B" w14:textId="77777777" w:rsidR="002E3F82" w:rsidRPr="00D60904" w:rsidRDefault="002E3F82" w:rsidP="009F2398">
            <w:pPr>
              <w:spacing w:before="20" w:after="20"/>
              <w:rPr>
                <w:rFonts w:cs="Arial"/>
                <w:b/>
                <w:sz w:val="20"/>
                <w:szCs w:val="20"/>
                <w:lang w:eastAsia="en-AU"/>
              </w:rPr>
            </w:pPr>
            <w:r w:rsidRPr="00D60904">
              <w:rPr>
                <w:rFonts w:cs="Arial"/>
                <w:b/>
                <w:sz w:val="20"/>
                <w:szCs w:val="20"/>
                <w:lang w:eastAsia="en-AU"/>
              </w:rPr>
              <w:t>5.10 Heritage conservation</w:t>
            </w:r>
          </w:p>
          <w:p w14:paraId="7B208438" w14:textId="77777777" w:rsidR="002E3F82" w:rsidRPr="00D60904" w:rsidRDefault="002E3F82" w:rsidP="009F2398">
            <w:pPr>
              <w:spacing w:before="20" w:after="20"/>
              <w:rPr>
                <w:rFonts w:cs="Arial"/>
                <w:sz w:val="20"/>
                <w:szCs w:val="20"/>
                <w:lang w:eastAsia="en-AU"/>
              </w:rPr>
            </w:pPr>
          </w:p>
          <w:p w14:paraId="297D4A76" w14:textId="77777777" w:rsidR="002E3F82" w:rsidRPr="00D60904" w:rsidRDefault="002E3F82" w:rsidP="008870FD">
            <w:pPr>
              <w:spacing w:before="20" w:after="20"/>
              <w:jc w:val="both"/>
              <w:rPr>
                <w:rFonts w:cs="Arial"/>
                <w:sz w:val="20"/>
                <w:szCs w:val="20"/>
                <w:lang w:eastAsia="en-AU"/>
              </w:rPr>
            </w:pPr>
            <w:r w:rsidRPr="00D60904">
              <w:rPr>
                <w:rFonts w:cs="Arial"/>
                <w:sz w:val="20"/>
                <w:szCs w:val="20"/>
                <w:lang w:eastAsia="en-AU"/>
              </w:rPr>
              <w:t xml:space="preserve">Before granting development consent in respect of a heritage items or a heritage conservation area, the consent authority must consider the effect of the proposed </w:t>
            </w:r>
            <w:r w:rsidRPr="00D60904">
              <w:rPr>
                <w:rFonts w:cs="Arial"/>
                <w:sz w:val="20"/>
                <w:szCs w:val="20"/>
                <w:lang w:eastAsia="en-AU"/>
              </w:rPr>
              <w:lastRenderedPageBreak/>
              <w:t>development on the heritage significance of the item or area concerned.</w:t>
            </w:r>
          </w:p>
          <w:p w14:paraId="469E5CEB" w14:textId="77777777" w:rsidR="002E3F82" w:rsidRPr="00D60904" w:rsidRDefault="002E3F82" w:rsidP="009F2398">
            <w:pPr>
              <w:spacing w:before="20" w:after="20"/>
              <w:rPr>
                <w:rFonts w:cs="Arial"/>
                <w:sz w:val="20"/>
                <w:szCs w:val="20"/>
                <w:lang w:eastAsia="en-AU"/>
              </w:rPr>
            </w:pPr>
          </w:p>
          <w:p w14:paraId="445F8B39" w14:textId="77777777" w:rsidR="002E3F82" w:rsidRPr="00D60904" w:rsidRDefault="002E3F82" w:rsidP="008870FD">
            <w:pPr>
              <w:spacing w:before="20" w:after="20"/>
              <w:jc w:val="both"/>
              <w:rPr>
                <w:rFonts w:cs="Arial"/>
                <w:sz w:val="20"/>
                <w:szCs w:val="20"/>
                <w:lang w:eastAsia="en-AU"/>
              </w:rPr>
            </w:pPr>
            <w:r w:rsidRPr="00D60904">
              <w:rPr>
                <w:rFonts w:cs="Arial"/>
                <w:sz w:val="20"/>
                <w:szCs w:val="20"/>
                <w:lang w:eastAsia="en-AU"/>
              </w:rPr>
              <w:t>The consent authority may require a heritage management document to be prepared that assesses the extent to which the carrying out of the proposed development would affect the heritage significance of the item or heritage conservation area concerned. The submission of a heritage conservation management plan may also be required.</w:t>
            </w:r>
          </w:p>
        </w:tc>
        <w:tc>
          <w:tcPr>
            <w:tcW w:w="3969" w:type="dxa"/>
          </w:tcPr>
          <w:p w14:paraId="06E793CA" w14:textId="52D5ACE5" w:rsidR="002E3F82" w:rsidRPr="00E25ED4" w:rsidRDefault="00E25ED4" w:rsidP="00F6788B">
            <w:pPr>
              <w:jc w:val="both"/>
              <w:rPr>
                <w:rFonts w:cs="Arial"/>
                <w:sz w:val="20"/>
                <w:szCs w:val="20"/>
                <w:lang w:eastAsia="en-AU"/>
              </w:rPr>
            </w:pPr>
            <w:r w:rsidRPr="00E25ED4">
              <w:rPr>
                <w:rFonts w:cs="Arial"/>
                <w:sz w:val="20"/>
                <w:szCs w:val="20"/>
                <w:lang w:eastAsia="en-AU"/>
              </w:rPr>
              <w:lastRenderedPageBreak/>
              <w:t xml:space="preserve">Although the Depot site is not a heritage </w:t>
            </w:r>
            <w:r w:rsidR="00F6788B">
              <w:rPr>
                <w:rFonts w:cs="Arial"/>
                <w:sz w:val="20"/>
                <w:szCs w:val="20"/>
                <w:lang w:eastAsia="en-AU"/>
              </w:rPr>
              <w:t xml:space="preserve">item </w:t>
            </w:r>
            <w:r w:rsidRPr="00E25ED4">
              <w:rPr>
                <w:rFonts w:cs="Arial"/>
                <w:sz w:val="20"/>
                <w:szCs w:val="20"/>
                <w:lang w:eastAsia="en-AU"/>
              </w:rPr>
              <w:t xml:space="preserve">or within a heritage conservation area, there are a number of local heritage items (Schedule 5 of the LEP) in </w:t>
            </w:r>
            <w:r w:rsidR="00F6788B">
              <w:rPr>
                <w:rFonts w:cs="Arial"/>
                <w:sz w:val="20"/>
                <w:szCs w:val="20"/>
                <w:lang w:eastAsia="en-AU"/>
              </w:rPr>
              <w:t>relatively close proximity</w:t>
            </w:r>
            <w:r w:rsidRPr="00E25ED4">
              <w:rPr>
                <w:rFonts w:cs="Arial"/>
                <w:sz w:val="20"/>
                <w:szCs w:val="20"/>
                <w:lang w:eastAsia="en-AU"/>
              </w:rPr>
              <w:t xml:space="preserve"> to the southern side of the site. These are the Former Milk Receiving Depot (I126) located at No. 259 Camden </w:t>
            </w:r>
            <w:r w:rsidRPr="00E25ED4">
              <w:rPr>
                <w:rFonts w:cs="Arial"/>
                <w:sz w:val="20"/>
                <w:szCs w:val="20"/>
                <w:lang w:eastAsia="en-AU"/>
              </w:rPr>
              <w:lastRenderedPageBreak/>
              <w:t>Valley Way</w:t>
            </w:r>
            <w:r w:rsidR="00F6788B">
              <w:rPr>
                <w:rFonts w:cs="Arial"/>
                <w:sz w:val="20"/>
                <w:szCs w:val="20"/>
                <w:lang w:eastAsia="en-AU"/>
              </w:rPr>
              <w:t>;</w:t>
            </w:r>
            <w:r w:rsidRPr="00E25ED4">
              <w:rPr>
                <w:rFonts w:cs="Arial"/>
                <w:sz w:val="20"/>
                <w:szCs w:val="20"/>
                <w:lang w:eastAsia="en-AU"/>
              </w:rPr>
              <w:t xml:space="preserve"> the Cottage (I127) located at No. 267 Camden Valley Way</w:t>
            </w:r>
            <w:r w:rsidR="00F6788B">
              <w:rPr>
                <w:rFonts w:cs="Arial"/>
                <w:sz w:val="20"/>
                <w:szCs w:val="20"/>
                <w:lang w:eastAsia="en-AU"/>
              </w:rPr>
              <w:t>;</w:t>
            </w:r>
            <w:r w:rsidRPr="00E25ED4">
              <w:rPr>
                <w:rFonts w:cs="Arial"/>
                <w:sz w:val="20"/>
                <w:szCs w:val="20"/>
                <w:lang w:eastAsia="en-AU"/>
              </w:rPr>
              <w:t xml:space="preserve"> and the Shop (I128) located at No. 269 Camden Valley Way. However, it is considered that the potential for adverse heritage impacts to these properties as a consequence of the proposed works is low and the</w:t>
            </w:r>
            <w:r w:rsidR="00F6788B">
              <w:rPr>
                <w:rFonts w:cs="Arial"/>
                <w:sz w:val="20"/>
                <w:szCs w:val="20"/>
                <w:lang w:eastAsia="en-AU"/>
              </w:rPr>
              <w:t xml:space="preserve"> </w:t>
            </w:r>
            <w:r w:rsidRPr="00E25ED4">
              <w:rPr>
                <w:rFonts w:cs="Arial"/>
                <w:sz w:val="20"/>
                <w:szCs w:val="20"/>
                <w:lang w:eastAsia="en-AU"/>
              </w:rPr>
              <w:t>preparation of a Heritage Impact Statement is not required.</w:t>
            </w:r>
          </w:p>
        </w:tc>
        <w:tc>
          <w:tcPr>
            <w:tcW w:w="1843" w:type="dxa"/>
          </w:tcPr>
          <w:p w14:paraId="7D1D677F" w14:textId="77777777" w:rsidR="002E3F82" w:rsidRPr="00D60904" w:rsidRDefault="002E3F82" w:rsidP="009F2398">
            <w:pPr>
              <w:spacing w:before="20" w:after="20"/>
              <w:rPr>
                <w:rFonts w:cs="Arial"/>
                <w:bCs/>
                <w:sz w:val="20"/>
                <w:szCs w:val="20"/>
                <w:lang w:eastAsia="en-AU"/>
              </w:rPr>
            </w:pPr>
            <w:r>
              <w:rPr>
                <w:rFonts w:cs="Arial"/>
                <w:bCs/>
                <w:sz w:val="20"/>
                <w:szCs w:val="20"/>
                <w:lang w:eastAsia="en-AU"/>
              </w:rPr>
              <w:lastRenderedPageBreak/>
              <w:t>Yes.</w:t>
            </w:r>
          </w:p>
        </w:tc>
      </w:tr>
      <w:tr w:rsidR="002E3F82" w:rsidRPr="00D60904" w14:paraId="053EA86A" w14:textId="77777777" w:rsidTr="009F2398">
        <w:trPr>
          <w:trHeight w:val="214"/>
        </w:trPr>
        <w:tc>
          <w:tcPr>
            <w:tcW w:w="3970" w:type="dxa"/>
            <w:shd w:val="clear" w:color="auto" w:fill="auto"/>
          </w:tcPr>
          <w:p w14:paraId="02DC6D76" w14:textId="77777777" w:rsidR="002E3F82" w:rsidRPr="00D60904" w:rsidRDefault="002E3F82" w:rsidP="009F2398">
            <w:pPr>
              <w:spacing w:before="20" w:after="20"/>
              <w:rPr>
                <w:rFonts w:cs="Arial"/>
                <w:b/>
                <w:sz w:val="20"/>
                <w:szCs w:val="20"/>
                <w:lang w:eastAsia="en-AU"/>
              </w:rPr>
            </w:pPr>
            <w:r w:rsidRPr="00D60904">
              <w:rPr>
                <w:rFonts w:cs="Arial"/>
                <w:b/>
                <w:sz w:val="20"/>
                <w:szCs w:val="20"/>
                <w:lang w:eastAsia="en-AU"/>
              </w:rPr>
              <w:t>7.4 Earthworks</w:t>
            </w:r>
          </w:p>
          <w:p w14:paraId="5D5FEFA7" w14:textId="77777777" w:rsidR="002E3F82" w:rsidRPr="00D60904" w:rsidRDefault="002E3F82" w:rsidP="009F2398">
            <w:pPr>
              <w:spacing w:before="20" w:after="20"/>
              <w:rPr>
                <w:rFonts w:cs="Arial"/>
                <w:sz w:val="20"/>
                <w:szCs w:val="20"/>
                <w:lang w:eastAsia="en-AU"/>
              </w:rPr>
            </w:pPr>
          </w:p>
          <w:p w14:paraId="4479C4D1" w14:textId="77777777" w:rsidR="002E3F82" w:rsidRPr="00D60904" w:rsidRDefault="002E3F82" w:rsidP="008870FD">
            <w:pPr>
              <w:spacing w:before="20" w:after="20"/>
              <w:jc w:val="both"/>
              <w:rPr>
                <w:rFonts w:cs="Arial"/>
                <w:sz w:val="20"/>
                <w:szCs w:val="20"/>
                <w:lang w:eastAsia="en-AU"/>
              </w:rPr>
            </w:pPr>
            <w:r w:rsidRPr="00D60904">
              <w:rPr>
                <w:rFonts w:cs="Arial"/>
                <w:sz w:val="20"/>
                <w:szCs w:val="20"/>
                <w:lang w:eastAsia="en-AU"/>
              </w:rPr>
              <w:t>Before granting development consent for earthworks the consent authority must consider a number of matters listed by this clause</w:t>
            </w:r>
            <w:r>
              <w:rPr>
                <w:rFonts w:cs="Arial"/>
                <w:sz w:val="20"/>
                <w:szCs w:val="20"/>
                <w:lang w:eastAsia="en-AU"/>
              </w:rPr>
              <w:t>,</w:t>
            </w:r>
            <w:r w:rsidRPr="00D60904">
              <w:rPr>
                <w:rFonts w:cs="Arial"/>
                <w:sz w:val="20"/>
                <w:szCs w:val="20"/>
                <w:lang w:eastAsia="en-AU"/>
              </w:rPr>
              <w:t xml:space="preserve"> including the impact on the existing and likely amenity of adjoining properties.</w:t>
            </w:r>
          </w:p>
        </w:tc>
        <w:tc>
          <w:tcPr>
            <w:tcW w:w="3969" w:type="dxa"/>
          </w:tcPr>
          <w:p w14:paraId="0E806D08" w14:textId="77777777" w:rsidR="002E3F82" w:rsidRPr="00D60904" w:rsidRDefault="002E3F82" w:rsidP="008870FD">
            <w:pPr>
              <w:spacing w:before="20" w:after="20"/>
              <w:jc w:val="both"/>
              <w:rPr>
                <w:rFonts w:cs="Arial"/>
                <w:sz w:val="20"/>
                <w:szCs w:val="20"/>
                <w:lang w:eastAsia="en-AU"/>
              </w:rPr>
            </w:pPr>
            <w:r>
              <w:rPr>
                <w:rFonts w:cs="Arial"/>
                <w:sz w:val="20"/>
                <w:szCs w:val="20"/>
                <w:lang w:eastAsia="en-AU"/>
              </w:rPr>
              <w:t>The development includes earthworks to create a level building platform and regrade the surrounding land. The matters listed by this clause have been considered and the earthworks are considered acceptable with regard to them.</w:t>
            </w:r>
          </w:p>
        </w:tc>
        <w:tc>
          <w:tcPr>
            <w:tcW w:w="1843" w:type="dxa"/>
          </w:tcPr>
          <w:p w14:paraId="6FE37CFB" w14:textId="77777777" w:rsidR="002E3F82" w:rsidRPr="00D60904" w:rsidRDefault="002E3F82" w:rsidP="009F2398">
            <w:pPr>
              <w:spacing w:before="20" w:after="20"/>
              <w:rPr>
                <w:rFonts w:cs="Arial"/>
                <w:bCs/>
                <w:sz w:val="20"/>
                <w:szCs w:val="20"/>
                <w:lang w:eastAsia="en-AU"/>
              </w:rPr>
            </w:pPr>
            <w:r>
              <w:rPr>
                <w:rFonts w:cs="Arial"/>
                <w:bCs/>
                <w:sz w:val="20"/>
                <w:szCs w:val="20"/>
                <w:lang w:eastAsia="en-AU"/>
              </w:rPr>
              <w:t>Yes.</w:t>
            </w:r>
          </w:p>
        </w:tc>
      </w:tr>
    </w:tbl>
    <w:p w14:paraId="4FCFAE78" w14:textId="77777777" w:rsidR="002E3F82" w:rsidRPr="00D60904" w:rsidRDefault="002E3F82" w:rsidP="002E3F82">
      <w:pPr>
        <w:rPr>
          <w:rFonts w:cs="Arial"/>
          <w:sz w:val="20"/>
          <w:szCs w:val="20"/>
        </w:rPr>
      </w:pPr>
    </w:p>
    <w:p w14:paraId="6D6501C4" w14:textId="77777777" w:rsidR="003A3340" w:rsidRDefault="003A3340"/>
    <w:sectPr w:rsidR="003A3340" w:rsidSect="00BB642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3A80A" w14:textId="77777777" w:rsidR="009C7C09" w:rsidRDefault="00E25ED4">
      <w:r>
        <w:separator/>
      </w:r>
    </w:p>
  </w:endnote>
  <w:endnote w:type="continuationSeparator" w:id="0">
    <w:p w14:paraId="75C17E56" w14:textId="77777777" w:rsidR="009C7C09" w:rsidRDefault="00E2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889476"/>
      <w:docPartObj>
        <w:docPartGallery w:val="Page Numbers (Bottom of Page)"/>
        <w:docPartUnique/>
      </w:docPartObj>
    </w:sdtPr>
    <w:sdtEndPr>
      <w:rPr>
        <w:noProof/>
        <w:sz w:val="20"/>
        <w:szCs w:val="20"/>
      </w:rPr>
    </w:sdtEndPr>
    <w:sdtContent>
      <w:p w14:paraId="7D229CE4" w14:textId="77777777" w:rsidR="000A3ED6" w:rsidRPr="000A3ED6" w:rsidRDefault="002E3F82">
        <w:pPr>
          <w:pStyle w:val="Footer"/>
          <w:jc w:val="center"/>
          <w:rPr>
            <w:sz w:val="20"/>
            <w:szCs w:val="20"/>
          </w:rPr>
        </w:pPr>
        <w:r w:rsidRPr="000A3ED6">
          <w:rPr>
            <w:sz w:val="20"/>
            <w:szCs w:val="20"/>
          </w:rPr>
          <w:fldChar w:fldCharType="begin"/>
        </w:r>
        <w:r w:rsidRPr="000A3ED6">
          <w:rPr>
            <w:sz w:val="20"/>
            <w:szCs w:val="20"/>
          </w:rPr>
          <w:instrText xml:space="preserve"> PAGE   \* MERGEFORMAT </w:instrText>
        </w:r>
        <w:r w:rsidRPr="000A3ED6">
          <w:rPr>
            <w:sz w:val="20"/>
            <w:szCs w:val="20"/>
          </w:rPr>
          <w:fldChar w:fldCharType="separate"/>
        </w:r>
        <w:r w:rsidRPr="000A3ED6">
          <w:rPr>
            <w:noProof/>
            <w:sz w:val="20"/>
            <w:szCs w:val="20"/>
          </w:rPr>
          <w:t>2</w:t>
        </w:r>
        <w:r w:rsidRPr="000A3ED6">
          <w:rPr>
            <w:noProof/>
            <w:sz w:val="20"/>
            <w:szCs w:val="20"/>
          </w:rPr>
          <w:fldChar w:fldCharType="end"/>
        </w:r>
      </w:p>
    </w:sdtContent>
  </w:sdt>
  <w:p w14:paraId="33E9C0DA" w14:textId="77777777" w:rsidR="001D33E8" w:rsidRDefault="00DD4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1A3AE" w14:textId="77777777" w:rsidR="009C7C09" w:rsidRDefault="00E25ED4">
      <w:r>
        <w:separator/>
      </w:r>
    </w:p>
  </w:footnote>
  <w:footnote w:type="continuationSeparator" w:id="0">
    <w:p w14:paraId="6120A27B" w14:textId="77777777" w:rsidR="009C7C09" w:rsidRDefault="00E25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1758C" w14:textId="77777777" w:rsidR="001D33E8" w:rsidRPr="00D60904" w:rsidRDefault="002E3F82" w:rsidP="003172D8">
    <w:pPr>
      <w:pStyle w:val="Header"/>
      <w:jc w:val="center"/>
      <w:rPr>
        <w:sz w:val="22"/>
        <w:szCs w:val="22"/>
        <w:u w:val="single"/>
      </w:rPr>
    </w:pPr>
    <w:r w:rsidRPr="00D60904">
      <w:rPr>
        <w:sz w:val="22"/>
        <w:szCs w:val="22"/>
        <w:u w:val="single"/>
      </w:rPr>
      <w:t>Camden Local Environmental Plan 2010 (</w:t>
    </w:r>
    <w:r>
      <w:rPr>
        <w:sz w:val="22"/>
        <w:szCs w:val="22"/>
        <w:u w:val="single"/>
      </w:rPr>
      <w:t xml:space="preserve">Camden </w:t>
    </w:r>
    <w:r w:rsidRPr="00D60904">
      <w:rPr>
        <w:sz w:val="22"/>
        <w:szCs w:val="22"/>
        <w:u w:val="single"/>
      </w:rPr>
      <w:t>LEP) Assessment Table</w:t>
    </w:r>
  </w:p>
  <w:p w14:paraId="1F57443E" w14:textId="77777777" w:rsidR="001D33E8" w:rsidRDefault="00DD4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54548"/>
    <w:multiLevelType w:val="hybridMultilevel"/>
    <w:tmpl w:val="49D4C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AA124FD"/>
    <w:multiLevelType w:val="hybridMultilevel"/>
    <w:tmpl w:val="70841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9985D33"/>
    <w:multiLevelType w:val="hybridMultilevel"/>
    <w:tmpl w:val="588C6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A3B50E0"/>
    <w:multiLevelType w:val="hybridMultilevel"/>
    <w:tmpl w:val="F228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82"/>
    <w:rsid w:val="002E3F82"/>
    <w:rsid w:val="003A3340"/>
    <w:rsid w:val="00587D5B"/>
    <w:rsid w:val="008870FD"/>
    <w:rsid w:val="009C7C09"/>
    <w:rsid w:val="00AD506B"/>
    <w:rsid w:val="00DD4440"/>
    <w:rsid w:val="00E25ED4"/>
    <w:rsid w:val="00F67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5F36"/>
  <w15:chartTrackingRefBased/>
  <w15:docId w15:val="{76FE30EA-B22D-4128-851F-74BFFDB3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3F82"/>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F82"/>
    <w:pPr>
      <w:tabs>
        <w:tab w:val="center" w:pos="4513"/>
        <w:tab w:val="right" w:pos="9026"/>
      </w:tabs>
    </w:pPr>
  </w:style>
  <w:style w:type="character" w:customStyle="1" w:styleId="HeaderChar">
    <w:name w:val="Header Char"/>
    <w:basedOn w:val="DefaultParagraphFont"/>
    <w:link w:val="Header"/>
    <w:uiPriority w:val="99"/>
    <w:rsid w:val="002E3F82"/>
    <w:rPr>
      <w:rFonts w:ascii="Arial" w:eastAsia="Times New Roman" w:hAnsi="Arial" w:cs="Times New Roman"/>
      <w:sz w:val="24"/>
      <w:szCs w:val="24"/>
      <w:lang w:val="en-US"/>
    </w:rPr>
  </w:style>
  <w:style w:type="paragraph" w:styleId="Footer">
    <w:name w:val="footer"/>
    <w:basedOn w:val="Normal"/>
    <w:link w:val="FooterChar"/>
    <w:uiPriority w:val="99"/>
    <w:unhideWhenUsed/>
    <w:rsid w:val="002E3F82"/>
    <w:pPr>
      <w:tabs>
        <w:tab w:val="center" w:pos="4513"/>
        <w:tab w:val="right" w:pos="9026"/>
      </w:tabs>
    </w:pPr>
  </w:style>
  <w:style w:type="character" w:customStyle="1" w:styleId="FooterChar">
    <w:name w:val="Footer Char"/>
    <w:basedOn w:val="DefaultParagraphFont"/>
    <w:link w:val="Footer"/>
    <w:uiPriority w:val="99"/>
    <w:rsid w:val="002E3F82"/>
    <w:rPr>
      <w:rFonts w:ascii="Arial" w:eastAsia="Times New Roman" w:hAnsi="Arial" w:cs="Times New Roman"/>
      <w:sz w:val="24"/>
      <w:szCs w:val="24"/>
      <w:lang w:val="en-US"/>
    </w:rPr>
  </w:style>
  <w:style w:type="paragraph" w:styleId="ListParagraph">
    <w:name w:val="List Paragraph"/>
    <w:basedOn w:val="Normal"/>
    <w:uiPriority w:val="34"/>
    <w:qFormat/>
    <w:rsid w:val="002E3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Rawson</dc:creator>
  <cp:keywords/>
  <dc:description/>
  <cp:lastModifiedBy>Jamie Erken</cp:lastModifiedBy>
  <cp:revision>7</cp:revision>
  <dcterms:created xsi:type="dcterms:W3CDTF">2020-01-28T21:56:00Z</dcterms:created>
  <dcterms:modified xsi:type="dcterms:W3CDTF">2020-02-13T03:46:00Z</dcterms:modified>
</cp:coreProperties>
</file>